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4302B" w14:textId="3CEAC162" w:rsidR="00DC7918" w:rsidRPr="00672B94" w:rsidRDefault="00DC7918" w:rsidP="00DC791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Pr>
          <w:rFonts w:ascii="Arial" w:hAnsi="Arial" w:cs="Arial"/>
          <w:b/>
          <w:sz w:val="24"/>
          <w:lang w:val="de-DE"/>
        </w:rPr>
        <w:t>07357</w:t>
      </w:r>
    </w:p>
    <w:p w14:paraId="5DA8A282" w14:textId="77777777" w:rsidR="00DC7918" w:rsidRDefault="00DC7918" w:rsidP="00DC7918">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F37A35B"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F029C">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8F029C">
        <w:rPr>
          <w:rFonts w:ascii="Arial" w:eastAsia="Malgun Gothic" w:hAnsi="Arial" w:cs="Arial"/>
          <w:b/>
          <w:sz w:val="24"/>
          <w:lang w:val="en-US" w:eastAsia="ko-KR"/>
        </w:rPr>
        <w:t>iming</w:t>
      </w:r>
      <w:r w:rsidR="00126986">
        <w:rPr>
          <w:rFonts w:ascii="Arial" w:eastAsia="Malgun Gothic" w:hAnsi="Arial" w:cs="Arial"/>
          <w:b/>
          <w:sz w:val="24"/>
          <w:lang w:val="en-US" w:eastAsia="ko-KR"/>
        </w:rPr>
        <w:t xml:space="preserv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8F029C">
        <w:rPr>
          <w:rFonts w:ascii="Arial" w:eastAsia="Malgun Gothic" w:hAnsi="Arial" w:cs="Arial"/>
          <w:b/>
          <w:sz w:val="24"/>
          <w:lang w:val="en-US" w:eastAsia="ko-KR"/>
        </w:rPr>
        <w:t>for Multi-beam operation</w:t>
      </w:r>
      <w:r w:rsidR="00AF4174" w:rsidRPr="00FA3D2E">
        <w:rPr>
          <w:rFonts w:ascii="Arial" w:eastAsia="Malgun Gothic" w:hAnsi="Arial" w:cs="Arial"/>
          <w:b/>
          <w:sz w:val="24"/>
          <w:lang w:val="en-US" w:eastAsia="ko-KR"/>
        </w:rPr>
        <w:t xml:space="preserve"> </w:t>
      </w:r>
    </w:p>
    <w:p w14:paraId="6E52CD3F" w14:textId="337A20F5"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DC7918">
        <w:rPr>
          <w:rFonts w:ascii="Arial" w:hAnsi="Arial" w:cs="Arial"/>
          <w:b/>
          <w:sz w:val="24"/>
          <w:lang w:val="en-US"/>
        </w:rPr>
        <w:t>7</w:t>
      </w:r>
      <w:r w:rsidR="00397A38" w:rsidRPr="00FA3D2E">
        <w:rPr>
          <w:rFonts w:ascii="Arial" w:hAnsi="Arial" w:cs="Arial"/>
          <w:b/>
          <w:sz w:val="24"/>
          <w:lang w:val="en-US"/>
        </w:rPr>
        <w:t>.1.</w:t>
      </w:r>
      <w:r w:rsidR="008F029C">
        <w:rPr>
          <w:rFonts w:ascii="Arial" w:hAnsi="Arial" w:cs="Arial"/>
          <w:b/>
          <w:sz w:val="24"/>
          <w:lang w:val="en-US"/>
        </w:rPr>
        <w:t>2</w:t>
      </w:r>
      <w:r w:rsidR="004F6FB3" w:rsidRPr="00FA3D2E">
        <w:rPr>
          <w:rFonts w:ascii="Arial" w:hAnsi="Arial" w:cs="Arial"/>
          <w:b/>
          <w:sz w:val="24"/>
          <w:lang w:val="en-US"/>
        </w:rPr>
        <w:t>.</w:t>
      </w:r>
      <w:r w:rsidR="008B16DE">
        <w:rPr>
          <w:rFonts w:ascii="Arial" w:hAnsi="Arial" w:cs="Arial"/>
          <w:b/>
          <w:sz w:val="24"/>
          <w:lang w:val="en-US"/>
        </w:rPr>
        <w:t>2</w:t>
      </w:r>
      <w:r w:rsidR="008F029C">
        <w:rPr>
          <w:rFonts w:ascii="Arial" w:hAnsi="Arial" w:cs="Arial"/>
          <w:b/>
          <w:sz w:val="24"/>
          <w:lang w:val="en-US"/>
        </w:rPr>
        <w:t>.3</w:t>
      </w:r>
    </w:p>
    <w:p w14:paraId="7998EAD6" w14:textId="6B856927"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r w:rsidR="008F029C">
        <w:rPr>
          <w:rFonts w:ascii="Arial" w:hAnsi="Arial" w:cs="Arial"/>
          <w:b/>
          <w:sz w:val="24"/>
          <w:lang w:val="en-US"/>
        </w:rPr>
        <w:t xml:space="preserve"> for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23228D04"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Pr="0020001D">
        <w:rPr>
          <w:sz w:val="22"/>
          <w:szCs w:val="22"/>
          <w:lang w:eastAsia="zh-CN"/>
        </w:rPr>
        <w:t xml:space="preserve"> meeting </w:t>
      </w:r>
      <w:r w:rsidR="00126986">
        <w:rPr>
          <w:sz w:val="22"/>
          <w:szCs w:val="22"/>
          <w:lang w:eastAsia="zh-CN"/>
        </w:rPr>
        <w:t>it has been agree</w:t>
      </w:r>
      <w:r w:rsidR="00126986" w:rsidRPr="00126986">
        <w:rPr>
          <w:sz w:val="22"/>
          <w:szCs w:val="22"/>
          <w:lang w:eastAsia="zh-CN"/>
        </w:rPr>
        <w:t>d in</w:t>
      </w:r>
      <w:r w:rsidR="00B24FA4" w:rsidRPr="00126986">
        <w:rPr>
          <w:sz w:val="22"/>
          <w:szCs w:val="22"/>
          <w:lang w:eastAsia="zh-CN"/>
        </w:rPr>
        <w:t xml:space="preserve"> [1]</w:t>
      </w:r>
      <w:r w:rsidR="00126986" w:rsidRPr="00126986">
        <w:rPr>
          <w:sz w:val="22"/>
          <w:szCs w:val="22"/>
          <w:lang w:eastAsia="zh-CN"/>
        </w:rPr>
        <w:t xml:space="preserve"> that </w:t>
      </w:r>
      <w:r w:rsidR="00126986">
        <w:rPr>
          <w:sz w:val="22"/>
          <w:szCs w:val="22"/>
          <w:lang w:eastAsia="zh-CN"/>
        </w:rPr>
        <w:t xml:space="preserve">different </w:t>
      </w:r>
      <w:r w:rsidR="008F029C">
        <w:rPr>
          <w:sz w:val="22"/>
          <w:szCs w:val="22"/>
          <w:lang w:eastAsia="zh-CN"/>
        </w:rPr>
        <w:t>beam correspondence</w:t>
      </w:r>
      <w:r w:rsidR="00126986">
        <w:rPr>
          <w:sz w:val="22"/>
          <w:szCs w:val="22"/>
          <w:lang w:eastAsia="zh-CN"/>
        </w:rPr>
        <w:t xml:space="preserve"> assumptions need to be considered for beam management. </w:t>
      </w:r>
      <w:r w:rsidR="008A5A09">
        <w:rPr>
          <w:sz w:val="22"/>
          <w:szCs w:val="22"/>
          <w:lang w:eastAsia="zh-CN"/>
        </w:rPr>
        <w:t>It has been stated that “</w:t>
      </w:r>
      <w:r w:rsidR="008A5A09" w:rsidRPr="008A5A09">
        <w:rPr>
          <w:sz w:val="22"/>
          <w:szCs w:val="22"/>
          <w:lang w:eastAsia="zh-CN"/>
        </w:rPr>
        <w:t xml:space="preserve">Without TX and RX </w:t>
      </w:r>
      <w:r w:rsidR="008F029C">
        <w:rPr>
          <w:sz w:val="22"/>
          <w:szCs w:val="22"/>
          <w:lang w:eastAsia="zh-CN"/>
        </w:rPr>
        <w:t>beam correspondence</w:t>
      </w:r>
      <w:r w:rsidR="008A5A09" w:rsidRPr="008A5A09">
        <w:rPr>
          <w:sz w:val="22"/>
          <w:szCs w:val="22"/>
          <w:lang w:eastAsia="zh-CN"/>
        </w:rPr>
        <w:t>, beam management procedure may require TX and RX beam sweeping in both DL and UL links</w:t>
      </w:r>
      <w:r w:rsidR="008A5A09">
        <w:rPr>
          <w:sz w:val="22"/>
          <w:szCs w:val="22"/>
          <w:lang w:eastAsia="zh-CN"/>
        </w:rPr>
        <w:t>”. Beam sweeping not only has impacts on the selected beam for transmission</w:t>
      </w:r>
      <w:r w:rsidR="002D6306">
        <w:rPr>
          <w:sz w:val="22"/>
          <w:szCs w:val="22"/>
          <w:lang w:eastAsia="zh-CN"/>
        </w:rPr>
        <w:t>/reception</w:t>
      </w:r>
      <w:r w:rsidR="008A5A09">
        <w:rPr>
          <w:sz w:val="22"/>
          <w:szCs w:val="22"/>
          <w:lang w:eastAsia="zh-CN"/>
        </w:rPr>
        <w:t>, but also has impacts on</w:t>
      </w:r>
      <w:r w:rsidR="00324C0B">
        <w:rPr>
          <w:sz w:val="22"/>
          <w:szCs w:val="22"/>
          <w:lang w:eastAsia="zh-CN"/>
        </w:rPr>
        <w:t xml:space="preserve"> the propagation delay</w:t>
      </w:r>
      <w:r w:rsidR="002D6306">
        <w:rPr>
          <w:sz w:val="22"/>
          <w:szCs w:val="22"/>
          <w:lang w:eastAsia="zh-CN"/>
        </w:rPr>
        <w:t xml:space="preserve"> </w:t>
      </w:r>
      <w:r w:rsidR="00D66D7C">
        <w:rPr>
          <w:sz w:val="22"/>
          <w:szCs w:val="22"/>
          <w:lang w:eastAsia="zh-CN"/>
        </w:rPr>
        <w:t xml:space="preserve">estimation </w:t>
      </w:r>
      <w:r w:rsidR="002D6306">
        <w:rPr>
          <w:sz w:val="22"/>
          <w:szCs w:val="22"/>
          <w:lang w:eastAsia="zh-CN"/>
        </w:rPr>
        <w:t>for the data link</w:t>
      </w:r>
      <w:r w:rsidR="008A5A09">
        <w:rPr>
          <w:sz w:val="22"/>
          <w:szCs w:val="22"/>
          <w:lang w:eastAsia="zh-CN"/>
        </w:rPr>
        <w:t xml:space="preserve">. </w:t>
      </w:r>
      <w:r w:rsidR="008F029C">
        <w:rPr>
          <w:sz w:val="22"/>
          <w:szCs w:val="22"/>
          <w:lang w:eastAsia="zh-CN"/>
        </w:rPr>
        <w:t xml:space="preserve">In RAN1 #88 meeting, the SRS with beam sweeping has been agreed. So for uplink, it is possible to maintain more than one beams and perform </w:t>
      </w:r>
      <w:r w:rsidR="007D6F66">
        <w:rPr>
          <w:sz w:val="22"/>
          <w:szCs w:val="22"/>
          <w:lang w:eastAsia="zh-CN"/>
        </w:rPr>
        <w:t xml:space="preserve">independent </w:t>
      </w:r>
      <w:r w:rsidR="008F029C">
        <w:rPr>
          <w:sz w:val="22"/>
          <w:szCs w:val="22"/>
          <w:lang w:eastAsia="zh-CN"/>
        </w:rPr>
        <w:t xml:space="preserve">beam </w:t>
      </w:r>
      <w:r w:rsidR="007D6F66">
        <w:rPr>
          <w:sz w:val="22"/>
          <w:szCs w:val="22"/>
          <w:lang w:eastAsia="zh-CN"/>
        </w:rPr>
        <w:t>management</w:t>
      </w:r>
      <w:r w:rsidR="008F029C">
        <w:rPr>
          <w:sz w:val="22"/>
          <w:szCs w:val="22"/>
          <w:lang w:eastAsia="zh-CN"/>
        </w:rPr>
        <w:t xml:space="preserve">. </w:t>
      </w:r>
      <w:r w:rsidR="002D6306">
        <w:rPr>
          <w:sz w:val="22"/>
          <w:szCs w:val="22"/>
          <w:lang w:eastAsia="zh-CN"/>
        </w:rPr>
        <w:t>This contribution discussed potential problem of time advance (TA)</w:t>
      </w:r>
      <w:r w:rsidR="008F029C">
        <w:rPr>
          <w:sz w:val="22"/>
          <w:szCs w:val="22"/>
          <w:lang w:eastAsia="zh-CN"/>
        </w:rPr>
        <w:t xml:space="preserve"> for multi-beam operation</w:t>
      </w:r>
      <w:r w:rsidR="002D6306">
        <w:rPr>
          <w:sz w:val="22"/>
          <w:szCs w:val="22"/>
          <w:lang w:eastAsia="zh-CN"/>
        </w:rPr>
        <w:t xml:space="preserve">. </w:t>
      </w:r>
    </w:p>
    <w:p w14:paraId="7B87F28E" w14:textId="1F4C927A" w:rsidR="008D27B6" w:rsidRDefault="008F029C" w:rsidP="00A13AAA">
      <w:pPr>
        <w:pStyle w:val="Heading1"/>
        <w:numPr>
          <w:ilvl w:val="0"/>
          <w:numId w:val="5"/>
        </w:numPr>
        <w:spacing w:before="120" w:after="60"/>
        <w:jc w:val="both"/>
        <w:rPr>
          <w:rFonts w:cs="Arial"/>
          <w:lang w:val="en-US"/>
        </w:rPr>
      </w:pPr>
      <w:r>
        <w:rPr>
          <w:rFonts w:cs="Arial"/>
          <w:lang w:val="en-US" w:eastAsia="zh-CN"/>
        </w:rPr>
        <w:t>Discussion</w:t>
      </w:r>
    </w:p>
    <w:p w14:paraId="48BB90C8" w14:textId="6078F2FB" w:rsidR="007B135B" w:rsidRPr="007B135B" w:rsidRDefault="00EC183C" w:rsidP="00EC183C">
      <w:pPr>
        <w:pStyle w:val="Heading2"/>
        <w:rPr>
          <w:lang w:eastAsia="zh-CN"/>
        </w:rPr>
      </w:pPr>
      <w:r>
        <w:rPr>
          <w:lang w:eastAsia="zh-CN"/>
        </w:rPr>
        <w:t xml:space="preserve">2.1 </w:t>
      </w:r>
      <w:r w:rsidR="007B135B" w:rsidRPr="007B135B">
        <w:rPr>
          <w:rFonts w:hint="eastAsia"/>
          <w:lang w:eastAsia="zh-CN"/>
        </w:rPr>
        <w:t>TA for multi-panel</w:t>
      </w:r>
      <w:r w:rsidR="007B135B" w:rsidRPr="007B135B">
        <w:rPr>
          <w:lang w:eastAsia="zh-CN"/>
        </w:rPr>
        <w:t xml:space="preserve"> UE</w:t>
      </w:r>
    </w:p>
    <w:p w14:paraId="0676BCB1" w14:textId="3BCB4A71" w:rsidR="008F029C" w:rsidRDefault="008F029C" w:rsidP="00991FBD">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t>
      </w:r>
      <w:bookmarkStart w:id="0" w:name="_GoBack"/>
      <w:bookmarkEnd w:id="0"/>
      <w:r>
        <w:rPr>
          <w:sz w:val="22"/>
          <w:szCs w:val="22"/>
          <w:lang w:val="en-US" w:eastAsia="zh-CN"/>
        </w:rPr>
        <w:t xml:space="preserve">with one TRP, the UE can be in </w:t>
      </w:r>
      <w:r w:rsidR="003046F7">
        <w:rPr>
          <w:sz w:val="22"/>
          <w:szCs w:val="22"/>
          <w:lang w:val="en-US" w:eastAsia="zh-CN"/>
        </w:rPr>
        <w:t xml:space="preserve">intra-frequency </w:t>
      </w:r>
      <w:r>
        <w:rPr>
          <w:sz w:val="22"/>
          <w:szCs w:val="22"/>
          <w:lang w:val="en-US" w:eastAsia="zh-CN"/>
        </w:rPr>
        <w:t>Dual-Connectivity (DC) mode, as shown in Figure 1.</w:t>
      </w:r>
      <w:r w:rsidR="007F3185">
        <w:rPr>
          <w:sz w:val="22"/>
          <w:szCs w:val="22"/>
          <w:lang w:val="en-US" w:eastAsia="zh-CN"/>
        </w:rPr>
        <w:t xml:space="preserve"> </w:t>
      </w:r>
      <w:r w:rsidR="009F2CF9">
        <w:rPr>
          <w:sz w:val="22"/>
          <w:szCs w:val="22"/>
          <w:lang w:val="en-US" w:eastAsia="zh-CN"/>
        </w:rPr>
        <w:t>Then</w:t>
      </w:r>
      <w:r w:rsidR="007F3185">
        <w:rPr>
          <w:sz w:val="22"/>
          <w:szCs w:val="22"/>
          <w:lang w:val="en-US" w:eastAsia="zh-CN"/>
        </w:rPr>
        <w:t xml:space="preserve"> different channel path can be observed from different links. Thus different propagation delay can be observed in different antenna panels. </w:t>
      </w:r>
      <w:r w:rsidR="00200CC6">
        <w:rPr>
          <w:sz w:val="22"/>
          <w:szCs w:val="22"/>
          <w:lang w:val="en-US" w:eastAsia="zh-CN"/>
        </w:rPr>
        <w:t xml:space="preserve">Another possible scenario is that the UE is in beam aggregation mode, which means the UE could use multiple beams in different panels at one time to transmit data to the TRP. Then different propagation delay can be observed in different path. </w:t>
      </w:r>
      <w:r w:rsidR="007F3185">
        <w:rPr>
          <w:sz w:val="22"/>
          <w:szCs w:val="22"/>
          <w:lang w:val="en-US" w:eastAsia="zh-CN"/>
        </w:rPr>
        <w:t xml:space="preserve">Therefore, </w:t>
      </w:r>
      <w:r w:rsidR="003046F7">
        <w:rPr>
          <w:sz w:val="22"/>
          <w:szCs w:val="22"/>
          <w:lang w:val="en-US" w:eastAsia="zh-CN"/>
        </w:rPr>
        <w:t xml:space="preserve">with regard to </w:t>
      </w:r>
      <w:r w:rsidR="00200CC6">
        <w:rPr>
          <w:sz w:val="22"/>
          <w:szCs w:val="22"/>
          <w:lang w:val="en-US" w:eastAsia="zh-CN"/>
        </w:rPr>
        <w:t xml:space="preserve">possible </w:t>
      </w:r>
      <w:r w:rsidR="003046F7">
        <w:rPr>
          <w:sz w:val="22"/>
          <w:szCs w:val="22"/>
          <w:lang w:val="en-US" w:eastAsia="zh-CN"/>
        </w:rPr>
        <w:t xml:space="preserve">different propagation delay </w:t>
      </w:r>
      <w:r w:rsidR="007D6F66">
        <w:rPr>
          <w:sz w:val="22"/>
          <w:szCs w:val="22"/>
          <w:lang w:val="en-US" w:eastAsia="zh-CN"/>
        </w:rPr>
        <w:t>for different panels</w:t>
      </w:r>
      <w:r w:rsidR="00EC183C">
        <w:rPr>
          <w:sz w:val="22"/>
          <w:szCs w:val="22"/>
          <w:lang w:val="en-US" w:eastAsia="zh-CN"/>
        </w:rPr>
        <w:t xml:space="preserve"> in multi-panel and multi-TRP operation</w:t>
      </w:r>
      <w:r w:rsidR="003046F7">
        <w:rPr>
          <w:sz w:val="22"/>
          <w:szCs w:val="22"/>
          <w:lang w:val="en-US" w:eastAsia="zh-CN"/>
        </w:rPr>
        <w:t xml:space="preserve">, </w:t>
      </w:r>
      <w:r w:rsidR="007F3185">
        <w:rPr>
          <w:sz w:val="22"/>
          <w:szCs w:val="22"/>
          <w:lang w:val="en-US" w:eastAsia="zh-CN"/>
        </w:rPr>
        <w:t xml:space="preserve">the UE antenna panel specific TA should be </w:t>
      </w:r>
      <w:r w:rsidR="007D6F66">
        <w:rPr>
          <w:sz w:val="22"/>
          <w:szCs w:val="22"/>
          <w:lang w:val="en-US" w:eastAsia="zh-CN"/>
        </w:rPr>
        <w:t>taken into account</w:t>
      </w:r>
      <w:r w:rsidR="007F3185">
        <w:rPr>
          <w:sz w:val="22"/>
          <w:szCs w:val="22"/>
          <w:lang w:val="en-US" w:eastAsia="zh-CN"/>
        </w:rPr>
        <w:t>.</w:t>
      </w:r>
    </w:p>
    <w:p w14:paraId="415F5E52" w14:textId="0B0ABD0E" w:rsidR="007B135B" w:rsidRDefault="00200CC6" w:rsidP="007F3185">
      <w:pPr>
        <w:ind w:firstLine="284"/>
        <w:jc w:val="center"/>
      </w:pPr>
      <w:r>
        <w:object w:dxaOrig="11026" w:dyaOrig="3691" w14:anchorId="2B349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70.25pt" o:ole="">
            <v:imagedata r:id="rId11" o:title=""/>
          </v:shape>
          <o:OLEObject Type="Embed" ProgID="Visio.Drawing.15" ShapeID="_x0000_i1025" DrawAspect="Content" ObjectID="_1555322134" r:id="rId12"/>
        </w:object>
      </w:r>
    </w:p>
    <w:p w14:paraId="2B5A0B82" w14:textId="360382D3" w:rsidR="007F3185" w:rsidRPr="000D50BD" w:rsidRDefault="007F3185" w:rsidP="007F3185">
      <w:pPr>
        <w:ind w:firstLine="284"/>
        <w:jc w:val="center"/>
        <w:rPr>
          <w:sz w:val="22"/>
          <w:szCs w:val="22"/>
          <w:lang w:val="en-US" w:eastAsia="zh-CN"/>
        </w:rPr>
      </w:pPr>
      <w:r w:rsidRPr="007F3185">
        <w:rPr>
          <w:b/>
          <w:sz w:val="22"/>
          <w:szCs w:val="22"/>
          <w:lang w:val="en-US" w:eastAsia="zh-CN"/>
        </w:rPr>
        <w:t>Figure 1: example for multi-panel transmission</w:t>
      </w:r>
    </w:p>
    <w:p w14:paraId="72847F2B" w14:textId="0CF77930" w:rsidR="007B135B" w:rsidRPr="007B135B" w:rsidRDefault="007B135B" w:rsidP="003C46E4">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sidR="00200CC6">
        <w:rPr>
          <w:b/>
          <w:i/>
          <w:sz w:val="22"/>
          <w:szCs w:val="22"/>
          <w:lang w:eastAsia="zh-CN"/>
        </w:rPr>
        <w:t xml:space="preserve">possible </w:t>
      </w:r>
      <w:r w:rsidRPr="007B135B">
        <w:rPr>
          <w:b/>
          <w:i/>
          <w:sz w:val="22"/>
          <w:szCs w:val="22"/>
          <w:lang w:eastAsia="zh-CN"/>
        </w:rPr>
        <w:t>different propagation delay in different antenna panels</w:t>
      </w:r>
      <w:r w:rsidR="00EC183C">
        <w:rPr>
          <w:b/>
          <w:i/>
          <w:sz w:val="22"/>
          <w:szCs w:val="22"/>
          <w:lang w:eastAsia="zh-CN"/>
        </w:rPr>
        <w:t xml:space="preserve"> for multi-panel and multi-TRP operation</w:t>
      </w:r>
      <w:r w:rsidRPr="007B135B">
        <w:rPr>
          <w:b/>
          <w:i/>
          <w:sz w:val="22"/>
          <w:szCs w:val="22"/>
          <w:lang w:eastAsia="zh-CN"/>
        </w:rPr>
        <w:t xml:space="preserve">, the </w:t>
      </w:r>
      <w:r w:rsidR="003046F7">
        <w:rPr>
          <w:b/>
          <w:i/>
          <w:sz w:val="22"/>
          <w:szCs w:val="22"/>
          <w:lang w:eastAsia="zh-CN"/>
        </w:rPr>
        <w:t xml:space="preserve">UE antenna </w:t>
      </w:r>
      <w:r w:rsidRPr="007B135B">
        <w:rPr>
          <w:b/>
          <w:i/>
          <w:sz w:val="22"/>
          <w:szCs w:val="22"/>
          <w:lang w:eastAsia="zh-CN"/>
        </w:rPr>
        <w:t xml:space="preserve">panel specific TA should be </w:t>
      </w:r>
      <w:r w:rsidR="00EC183C">
        <w:rPr>
          <w:b/>
          <w:i/>
          <w:sz w:val="22"/>
          <w:szCs w:val="22"/>
          <w:lang w:eastAsia="zh-CN"/>
        </w:rPr>
        <w:t>supported</w:t>
      </w:r>
    </w:p>
    <w:p w14:paraId="043FB14C" w14:textId="1217F2D3" w:rsidR="007B135B" w:rsidRPr="007B135B" w:rsidRDefault="00EC183C" w:rsidP="00EC183C">
      <w:pPr>
        <w:pStyle w:val="Heading2"/>
        <w:rPr>
          <w:lang w:eastAsia="zh-CN"/>
        </w:rPr>
      </w:pPr>
      <w:r>
        <w:rPr>
          <w:lang w:eastAsia="zh-CN"/>
        </w:rPr>
        <w:lastRenderedPageBreak/>
        <w:t xml:space="preserve">2.2 </w:t>
      </w:r>
      <w:r w:rsidR="007B135B" w:rsidRPr="007B135B">
        <w:rPr>
          <w:rFonts w:hint="eastAsia"/>
          <w:lang w:eastAsia="zh-CN"/>
        </w:rPr>
        <w:t>TA for multi-beam transmission</w:t>
      </w:r>
    </w:p>
    <w:p w14:paraId="5ECA6E93" w14:textId="77777777" w:rsidR="009F2CF9" w:rsidRDefault="009F2CF9" w:rsidP="009F2CF9">
      <w:pPr>
        <w:ind w:firstLine="284"/>
        <w:jc w:val="both"/>
        <w:rPr>
          <w:sz w:val="22"/>
          <w:szCs w:val="22"/>
          <w:lang w:val="en-US" w:eastAsia="zh-CN"/>
        </w:rPr>
      </w:pPr>
      <w:r>
        <w:rPr>
          <w:sz w:val="22"/>
          <w:szCs w:val="22"/>
          <w:lang w:eastAsia="zh-CN"/>
        </w:rPr>
        <w:t xml:space="preserve">In order to maximize the benefits of UE beamforming, it is better to incorporate UE beamforming earlier than later. To incorporate UE beamforming gain in initial access, it would be beneficial for the UE to perform DL beam management procedure P-1 to acquire TRP TX beam and UE RX beam. However, there is no guarantee that the acquired TRP TX/UE RX beam is the best TRP TX/UE RX beam pair. In fact, UE may trade the acquired beam quality with the access latency as further beam optimization for data communication can be left for DL beam management procedure P-2/P-3. For UE with at least partial beam correspondence, </w:t>
      </w:r>
      <w:r>
        <w:rPr>
          <w:sz w:val="22"/>
          <w:szCs w:val="22"/>
          <w:lang w:val="en-US" w:eastAsia="zh-CN"/>
        </w:rPr>
        <w:t xml:space="preserve">it can use the acquired RX beam as TX beam to send PRACH signal.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0BB2A0AB" w14:textId="54B7B25E" w:rsidR="009F2CF9" w:rsidRPr="009F2CF9" w:rsidRDefault="003046F7" w:rsidP="00440F16">
      <w:pPr>
        <w:ind w:firstLine="284"/>
        <w:jc w:val="both"/>
        <w:rPr>
          <w:sz w:val="22"/>
          <w:szCs w:val="22"/>
          <w:lang w:val="en-US" w:eastAsia="zh-CN"/>
        </w:rPr>
      </w:pPr>
      <w:r>
        <w:rPr>
          <w:sz w:val="22"/>
          <w:szCs w:val="22"/>
          <w:lang w:eastAsia="zh-CN"/>
        </w:rPr>
        <w:t xml:space="preserve">The TRP estimates the uplink timing advance as </w:t>
      </w:r>
      <w:r w:rsidRPr="00291C7D">
        <w:rPr>
          <w:sz w:val="22"/>
          <w:szCs w:val="22"/>
          <w:lang w:eastAsia="zh-CN"/>
        </w:rPr>
        <w:t>t</w:t>
      </w:r>
      <w:r w:rsidRPr="00291C7D">
        <w:rPr>
          <w:sz w:val="22"/>
          <w:szCs w:val="22"/>
          <w:vertAlign w:val="subscript"/>
          <w:lang w:eastAsia="zh-CN"/>
        </w:rPr>
        <w:t>TA</w:t>
      </w:r>
      <w:r>
        <w:rPr>
          <w:sz w:val="22"/>
          <w:szCs w:val="22"/>
          <w:lang w:eastAsia="zh-CN"/>
        </w:rPr>
        <w:t xml:space="preserve"> which can be quantized from the RTT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first and second channel clusters that the DL and UL beam pair propagate through. Hence the range of TA could be impacted by the time difference caused by different beams in DL and UL.</w:t>
      </w:r>
    </w:p>
    <w:p w14:paraId="3E97C757" w14:textId="4486E10B" w:rsidR="003046F7" w:rsidRDefault="003046F7" w:rsidP="003046F7">
      <w:pPr>
        <w:ind w:firstLine="284"/>
        <w:jc w:val="both"/>
        <w:rPr>
          <w:sz w:val="22"/>
          <w:szCs w:val="22"/>
          <w:lang w:val="en-US" w:eastAsia="zh-CN"/>
        </w:rPr>
      </w:pPr>
      <w:r>
        <w:rPr>
          <w:rFonts w:hint="eastAsia"/>
          <w:sz w:val="22"/>
          <w:szCs w:val="22"/>
          <w:lang w:val="en-US" w:eastAsia="zh-CN"/>
        </w:rPr>
        <w:t>In NR channel model discussion</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_Ref462736649 \r \h </w:instrText>
      </w:r>
      <w:r>
        <w:rPr>
          <w:sz w:val="22"/>
          <w:szCs w:val="22"/>
          <w:lang w:val="en-US" w:eastAsia="zh-CN"/>
        </w:rPr>
      </w:r>
      <w:r>
        <w:rPr>
          <w:sz w:val="22"/>
          <w:szCs w:val="22"/>
          <w:lang w:val="en-US" w:eastAsia="zh-CN"/>
        </w:rPr>
        <w:fldChar w:fldCharType="separate"/>
      </w:r>
      <w:r>
        <w:rPr>
          <w:sz w:val="22"/>
          <w:szCs w:val="22"/>
          <w:lang w:val="en-US" w:eastAsia="zh-CN"/>
        </w:rPr>
        <w:t>[3]</w:t>
      </w:r>
      <w:r>
        <w:rPr>
          <w:sz w:val="22"/>
          <w:szCs w:val="22"/>
          <w:lang w:val="en-US" w:eastAsia="zh-CN"/>
        </w:rPr>
        <w:fldChar w:fldCharType="end"/>
      </w:r>
      <w:r>
        <w:rPr>
          <w:rFonts w:hint="eastAsia"/>
          <w:sz w:val="22"/>
          <w:szCs w:val="22"/>
          <w:lang w:val="en-US" w:eastAsia="zh-CN"/>
        </w:rPr>
        <w:t xml:space="preserve">, </w:t>
      </w:r>
      <w:r>
        <w:rPr>
          <w:sz w:val="22"/>
          <w:szCs w:val="22"/>
          <w:lang w:val="en-US" w:eastAsia="zh-CN"/>
        </w:rPr>
        <w:t>it has been observed that the channel delay spread has little frequency dependency. On the other hand, the pathloss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5A0D7565" w14:textId="4F2ADB9A" w:rsidR="003046F7" w:rsidRDefault="003046F7" w:rsidP="003046F7">
      <w:pPr>
        <w:ind w:firstLine="284"/>
        <w:jc w:val="both"/>
        <w:rPr>
          <w:sz w:val="22"/>
          <w:szCs w:val="22"/>
          <w:lang w:val="en-US"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r w:rsidR="00EC183C">
        <w:rPr>
          <w:b/>
          <w:i/>
          <w:sz w:val="22"/>
          <w:szCs w:val="22"/>
          <w:lang w:eastAsia="zh-CN"/>
        </w:rPr>
        <w:t>, and the range of TA should be determined by the capability of gNB and UE beam correspondence.</w:t>
      </w: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4D5B22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 xml:space="preserve">discussed </w:t>
      </w:r>
      <w:r w:rsidR="00AD7A96">
        <w:rPr>
          <w:sz w:val="22"/>
          <w:szCs w:val="22"/>
          <w:lang w:eastAsia="zh-CN"/>
        </w:rPr>
        <w:t>the TA for multi-beam operation, and based on the discussion we have achieved the following observations and proposals.</w:t>
      </w:r>
    </w:p>
    <w:p w14:paraId="5CEDF9A4" w14:textId="77777777" w:rsidR="00200CC6" w:rsidRPr="007B135B" w:rsidRDefault="00200CC6" w:rsidP="00200CC6">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Pr>
          <w:b/>
          <w:i/>
          <w:sz w:val="22"/>
          <w:szCs w:val="22"/>
          <w:lang w:eastAsia="zh-CN"/>
        </w:rPr>
        <w:t xml:space="preserve">possible </w:t>
      </w:r>
      <w:r w:rsidRPr="007B135B">
        <w:rPr>
          <w:b/>
          <w:i/>
          <w:sz w:val="22"/>
          <w:szCs w:val="22"/>
          <w:lang w:eastAsia="zh-CN"/>
        </w:rPr>
        <w:t xml:space="preserve">different propagation delay in different antenna panels, the </w:t>
      </w:r>
      <w:r>
        <w:rPr>
          <w:b/>
          <w:i/>
          <w:sz w:val="22"/>
          <w:szCs w:val="22"/>
          <w:lang w:eastAsia="zh-CN"/>
        </w:rPr>
        <w:t xml:space="preserve">UE antenna </w:t>
      </w:r>
      <w:r w:rsidRPr="007B135B">
        <w:rPr>
          <w:b/>
          <w:i/>
          <w:sz w:val="22"/>
          <w:szCs w:val="22"/>
          <w:lang w:eastAsia="zh-CN"/>
        </w:rPr>
        <w:t xml:space="preserve">panel specific TA should be </w:t>
      </w:r>
      <w:r>
        <w:rPr>
          <w:b/>
          <w:i/>
          <w:sz w:val="22"/>
          <w:szCs w:val="22"/>
          <w:lang w:eastAsia="zh-CN"/>
        </w:rPr>
        <w:t>taken into account</w:t>
      </w:r>
      <w:r w:rsidRPr="007B135B">
        <w:rPr>
          <w:b/>
          <w:i/>
          <w:sz w:val="22"/>
          <w:szCs w:val="22"/>
          <w:lang w:eastAsia="zh-CN"/>
        </w:rPr>
        <w:t>.</w:t>
      </w:r>
    </w:p>
    <w:p w14:paraId="7FB7C5CC" w14:textId="77777777" w:rsidR="00EC183C" w:rsidRDefault="00EC183C" w:rsidP="00EC183C">
      <w:pPr>
        <w:ind w:firstLine="284"/>
        <w:jc w:val="both"/>
        <w:rPr>
          <w:sz w:val="22"/>
          <w:szCs w:val="22"/>
          <w:lang w:val="en-US"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 and the range of TA should be determined by the capability of gNB and UE beam correspondence.</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1746470" w:rsidR="00E75BCE" w:rsidRDefault="007C7BC1" w:rsidP="009F04E9">
      <w:pPr>
        <w:numPr>
          <w:ilvl w:val="0"/>
          <w:numId w:val="2"/>
        </w:numPr>
        <w:rPr>
          <w:sz w:val="22"/>
          <w:szCs w:val="22"/>
          <w:lang w:val="en-US" w:eastAsia="ja-JP"/>
        </w:rPr>
      </w:pPr>
      <w:r>
        <w:rPr>
          <w:sz w:val="22"/>
          <w:szCs w:val="22"/>
          <w:lang w:val="en-US" w:eastAsia="ja-JP"/>
        </w:rPr>
        <w:t>R1-168</w:t>
      </w:r>
      <w:r w:rsidR="00965ABD">
        <w:rPr>
          <w:sz w:val="22"/>
          <w:szCs w:val="22"/>
          <w:lang w:val="en-US" w:eastAsia="ja-JP"/>
        </w:rPr>
        <w:t>388</w:t>
      </w:r>
      <w:r>
        <w:rPr>
          <w:sz w:val="22"/>
          <w:szCs w:val="22"/>
          <w:lang w:val="en-US" w:eastAsia="ja-JP"/>
        </w:rPr>
        <w:t xml:space="preserve">, WF on </w:t>
      </w:r>
      <w:r w:rsidR="00965ABD">
        <w:rPr>
          <w:sz w:val="22"/>
          <w:szCs w:val="22"/>
          <w:lang w:val="en-US" w:eastAsia="ja-JP"/>
        </w:rPr>
        <w:t>beam management</w:t>
      </w:r>
      <w:r>
        <w:rPr>
          <w:sz w:val="22"/>
          <w:szCs w:val="22"/>
          <w:lang w:val="en-US" w:eastAsia="ja-JP"/>
        </w:rPr>
        <w:t xml:space="preserve">, </w:t>
      </w:r>
      <w:r w:rsidR="00965ABD">
        <w:rPr>
          <w:sz w:val="22"/>
          <w:szCs w:val="22"/>
          <w:lang w:val="en-US" w:eastAsia="ja-JP"/>
        </w:rPr>
        <w:t>CATT</w:t>
      </w:r>
      <w:r>
        <w:rPr>
          <w:sz w:val="22"/>
          <w:szCs w:val="22"/>
          <w:lang w:val="en-US" w:eastAsia="ja-JP"/>
        </w:rPr>
        <w:t xml:space="preserve"> et, al</w:t>
      </w:r>
    </w:p>
    <w:p w14:paraId="4D85610A" w14:textId="10E8A982" w:rsidR="007B135B" w:rsidRDefault="007B135B" w:rsidP="009F04E9">
      <w:pPr>
        <w:numPr>
          <w:ilvl w:val="0"/>
          <w:numId w:val="2"/>
        </w:numPr>
        <w:rPr>
          <w:sz w:val="22"/>
          <w:szCs w:val="22"/>
          <w:lang w:val="en-US" w:eastAsia="ja-JP"/>
        </w:rPr>
      </w:pPr>
      <w:r>
        <w:rPr>
          <w:sz w:val="22"/>
          <w:szCs w:val="22"/>
          <w:lang w:val="en-US" w:eastAsia="ja-JP"/>
        </w:rPr>
        <w:t>Chairman Notes RAN1 #88</w:t>
      </w:r>
    </w:p>
    <w:p w14:paraId="61B6BF2C" w14:textId="6F362224" w:rsidR="007631D3" w:rsidRPr="00537C12" w:rsidRDefault="007631D3" w:rsidP="009F04E9">
      <w:pPr>
        <w:numPr>
          <w:ilvl w:val="0"/>
          <w:numId w:val="2"/>
        </w:numPr>
        <w:rPr>
          <w:sz w:val="22"/>
          <w:szCs w:val="22"/>
          <w:lang w:val="en-US" w:eastAsia="ja-JP"/>
        </w:rPr>
      </w:pPr>
      <w:bookmarkStart w:id="1" w:name="_Ref462736649"/>
      <w:r w:rsidRPr="00537C12">
        <w:rPr>
          <w:sz w:val="22"/>
          <w:szCs w:val="22"/>
          <w:lang w:val="en-US" w:eastAsia="ja-JP"/>
        </w:rPr>
        <w:t xml:space="preserve">3GPP TR 38.900, channel model for </w:t>
      </w:r>
      <w:r w:rsidR="00003707" w:rsidRPr="00537C12">
        <w:rPr>
          <w:sz w:val="22"/>
          <w:szCs w:val="22"/>
          <w:lang w:val="en-US" w:eastAsia="ja-JP"/>
        </w:rPr>
        <w:t xml:space="preserve">frequency spectrum </w:t>
      </w:r>
      <w:r w:rsidRPr="00537C12">
        <w:rPr>
          <w:sz w:val="22"/>
          <w:szCs w:val="22"/>
          <w:lang w:val="en-US" w:eastAsia="ja-JP"/>
        </w:rPr>
        <w:t>above 6GHz</w:t>
      </w:r>
      <w:bookmarkEnd w:id="1"/>
    </w:p>
    <w:sectPr w:rsidR="007631D3" w:rsidRPr="00537C1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60B" w14:textId="77777777" w:rsidR="00B36DAA" w:rsidRDefault="00B36DAA">
      <w:r>
        <w:separator/>
      </w:r>
    </w:p>
  </w:endnote>
  <w:endnote w:type="continuationSeparator" w:id="0">
    <w:p w14:paraId="386245BA" w14:textId="77777777" w:rsidR="00B36DAA" w:rsidRDefault="00B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18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183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6697" w14:textId="77777777" w:rsidR="00B36DAA" w:rsidRDefault="00B36DAA">
      <w:r>
        <w:separator/>
      </w:r>
    </w:p>
  </w:footnote>
  <w:footnote w:type="continuationSeparator" w:id="0">
    <w:p w14:paraId="149E7134" w14:textId="77777777" w:rsidR="00B36DAA" w:rsidRDefault="00B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2"/>
  </w:num>
  <w:num w:numId="8">
    <w:abstractNumId w:val="12"/>
  </w:num>
  <w:num w:numId="9">
    <w:abstractNumId w:val="5"/>
  </w:num>
  <w:num w:numId="10">
    <w:abstractNumId w:val="4"/>
  </w:num>
  <w:num w:numId="11">
    <w:abstractNumId w:val="18"/>
  </w:num>
  <w:num w:numId="12">
    <w:abstractNumId w:val="6"/>
  </w:num>
  <w:num w:numId="13">
    <w:abstractNumId w:val="14"/>
  </w:num>
  <w:num w:numId="14">
    <w:abstractNumId w:val="17"/>
  </w:num>
  <w:num w:numId="15">
    <w:abstractNumId w:val="19"/>
  </w:num>
  <w:num w:numId="16">
    <w:abstractNumId w:val="25"/>
  </w:num>
  <w:num w:numId="17">
    <w:abstractNumId w:val="23"/>
  </w:num>
  <w:num w:numId="18">
    <w:abstractNumId w:val="3"/>
  </w:num>
  <w:num w:numId="19">
    <w:abstractNumId w:val="13"/>
  </w:num>
  <w:num w:numId="20">
    <w:abstractNumId w:val="28"/>
  </w:num>
  <w:num w:numId="21">
    <w:abstractNumId w:val="26"/>
  </w:num>
  <w:num w:numId="22">
    <w:abstractNumId w:val="21"/>
  </w:num>
  <w:num w:numId="23">
    <w:abstractNumId w:val="9"/>
  </w:num>
  <w:num w:numId="24">
    <w:abstractNumId w:val="1"/>
  </w:num>
  <w:num w:numId="25">
    <w:abstractNumId w:val="20"/>
  </w:num>
  <w:num w:numId="26">
    <w:abstractNumId w:val="15"/>
  </w:num>
  <w:num w:numId="27">
    <w:abstractNumId w:val="10"/>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155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0CC6"/>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6F7"/>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3DC9"/>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C0C"/>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EAC"/>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08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35B"/>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6F66"/>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185"/>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29C"/>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CF9"/>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D7A96"/>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09"/>
    <w:rsid w:val="00BA0EBA"/>
    <w:rsid w:val="00BA13E0"/>
    <w:rsid w:val="00BA17C4"/>
    <w:rsid w:val="00BA188C"/>
    <w:rsid w:val="00BA1C20"/>
    <w:rsid w:val="00BA1E0C"/>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758"/>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A7F65"/>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918"/>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C"/>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627E7-1F94-4744-BA02-C20CF8893B82}">
  <ds:schemaRefs>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4.xml><?xml version="1.0" encoding="utf-8"?>
<ds:datastoreItem xmlns:ds="http://schemas.openxmlformats.org/officeDocument/2006/customXml" ds:itemID="{86F981F7-0610-4454-9E5F-C14F3599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918</Words>
  <Characters>4678</Characters>
  <Application>Microsoft Office Word</Application>
  <DocSecurity>0</DocSecurity>
  <Lines>72</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5645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2017-05-03T03:11:00Z</dcterms:created>
  <dcterms:modified xsi:type="dcterms:W3CDTF">2017-05-03T03:16:00Z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7850db2d-132a-406e-bb3a-52339754a4f1</vt:lpwstr>
  </property>
  <property fmtid="{D5CDD505-2E9C-101B-9397-08002B2CF9AE}" pid="10" name="CTP_BU">
    <vt:lpwstr>NEXT GEN AND STANDARDS GROUP</vt:lpwstr>
  </property>
  <property fmtid="{D5CDD505-2E9C-101B-9397-08002B2CF9AE}" pid="11" name="CTP_TimeStamp">
    <vt:lpwstr>2017-05-03 03:16:15Z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